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4E496" w14:textId="77777777" w:rsidR="00D871D8" w:rsidRDefault="00000000">
      <w:pPr>
        <w:spacing w:after="40"/>
      </w:pPr>
      <w:r>
        <w:rPr>
          <w:b/>
          <w:bCs/>
          <w:color w:val="1F2A38"/>
          <w:sz w:val="32"/>
          <w:szCs w:val="32"/>
        </w:rPr>
        <w:t>Business Model Canvas</w:t>
      </w:r>
    </w:p>
    <w:p w14:paraId="53120AE2" w14:textId="420234C6" w:rsidR="00D871D8" w:rsidRDefault="00000000">
      <w:pPr>
        <w:spacing w:after="200"/>
      </w:pPr>
      <w:r>
        <w:rPr>
          <w:color w:val="555555"/>
        </w:rPr>
        <w:t xml:space="preserve">Desert Fog </w:t>
      </w:r>
      <w:proofErr w:type="gramStart"/>
      <w:r>
        <w:rPr>
          <w:color w:val="555555"/>
        </w:rPr>
        <w:t>Mycology  |</w:t>
      </w:r>
      <w:proofErr w:type="gramEnd"/>
      <w:r>
        <w:rPr>
          <w:color w:val="555555"/>
        </w:rPr>
        <w:t xml:space="preserve">  Boots to Business Revenue </w:t>
      </w:r>
      <w:proofErr w:type="gramStart"/>
      <w:r>
        <w:rPr>
          <w:color w:val="555555"/>
        </w:rPr>
        <w:t>Readiness  |</w:t>
      </w:r>
      <w:proofErr w:type="gramEnd"/>
      <w:r>
        <w:rPr>
          <w:color w:val="555555"/>
        </w:rPr>
        <w:t xml:space="preserve">  Week 2 </w:t>
      </w:r>
      <w:r w:rsidR="00151E8C">
        <w:rPr>
          <w:color w:val="555555"/>
        </w:rPr>
        <w:t>Assignment</w:t>
      </w:r>
    </w:p>
    <w:p w14:paraId="7638695F" w14:textId="77777777" w:rsidR="00D871D8" w:rsidRDefault="00000000">
      <w:pPr>
        <w:spacing w:after="200"/>
      </w:pPr>
      <w:r>
        <w:rPr>
          <w:i/>
          <w:iCs/>
          <w:color w:val="555555"/>
          <w:sz w:val="16"/>
          <w:szCs w:val="16"/>
        </w:rPr>
        <w:t>Green blocks = Week 1 (carried over, marked for your review).  White blocks = Week 2 (new this week).</w:t>
      </w:r>
    </w:p>
    <w:tbl>
      <w:tblPr>
        <w:tblW w:w="10400" w:type="dxa"/>
        <w:tblInd w:w="-3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7"/>
        <w:gridCol w:w="2561"/>
        <w:gridCol w:w="1671"/>
        <w:gridCol w:w="2104"/>
        <w:gridCol w:w="2030"/>
      </w:tblGrid>
      <w:tr w:rsidR="00D871D8" w14:paraId="6739B8C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2F6994" w14:textId="77777777" w:rsidR="00D871D8" w:rsidRDefault="00000000">
            <w:pPr>
              <w:spacing w:after="60"/>
            </w:pPr>
            <w:r>
              <w:rPr>
                <w:b/>
                <w:bCs/>
                <w:color w:val="1F2A38"/>
                <w:sz w:val="18"/>
                <w:szCs w:val="18"/>
              </w:rPr>
              <w:t>Key Partners</w:t>
            </w:r>
          </w:p>
          <w:p w14:paraId="4EF24D93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USDA Farm Service Agency (operating microloan financing)</w:t>
            </w:r>
          </w:p>
          <w:p w14:paraId="4096CF27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Spawn / culture suppliers</w:t>
            </w:r>
          </w:p>
          <w:p w14:paraId="7495E155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Container retrofit / fabrication contractor (build-out, electrical, HVAC)</w:t>
            </w:r>
          </w:p>
          <w:p w14:paraId="34F275BD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Local restaurants and chefs as anchor buyers</w:t>
            </w:r>
          </w:p>
          <w:p w14:paraId="549B90E0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Farmers market organizers / local food co-ops for distribution access</w:t>
            </w:r>
          </w:p>
          <w:p w14:paraId="6F11CA92" w14:textId="12361B84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CBU Environmental Science department (myco</w:t>
            </w:r>
            <w:r w:rsidR="00151E8C">
              <w:t>-</w:t>
            </w:r>
            <w:r>
              <w:t>remediation research collaboration, credibility/testing)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954425" w14:textId="77777777" w:rsidR="00D871D8" w:rsidRDefault="00000000">
            <w:pPr>
              <w:spacing w:after="60"/>
            </w:pPr>
            <w:r>
              <w:rPr>
                <w:b/>
                <w:bCs/>
                <w:color w:val="1F2A38"/>
                <w:sz w:val="18"/>
                <w:szCs w:val="18"/>
              </w:rPr>
              <w:t>Key Activities</w:t>
            </w:r>
          </w:p>
          <w:p w14:paraId="3163F1B8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Substrate prep, inoculation, incubation, fruiting, and harvest cycles</w:t>
            </w:r>
          </w:p>
          <w:p w14:paraId="623CF51C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Container build-out, climate control tuning, and ongoing maintenance</w:t>
            </w:r>
          </w:p>
          <w:p w14:paraId="57942822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Quality control and food-safety compliance</w:t>
            </w:r>
          </w:p>
          <w:p w14:paraId="69D48EF2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Direct sales outreach and order fulfillment to restaurants/markets</w:t>
            </w:r>
          </w:p>
          <w:p w14:paraId="1A7CB7A7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Strain selection and yield/process R&amp;D</w:t>
            </w:r>
          </w:p>
        </w:tc>
        <w:tc>
          <w:tcPr>
            <w:tcW w:w="0" w:type="auto"/>
            <w:vMerge w:val="restart"/>
            <w:shd w:val="clear" w:color="auto" w:fill="DCE9DC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9E3E10" w14:textId="77777777" w:rsidR="00D871D8" w:rsidRDefault="00000000">
            <w:pPr>
              <w:spacing w:after="60"/>
            </w:pPr>
            <w:r>
              <w:rPr>
                <w:b/>
                <w:bCs/>
                <w:color w:val="1F2A38"/>
                <w:sz w:val="18"/>
                <w:szCs w:val="18"/>
              </w:rPr>
              <w:t>Value Proposition</w:t>
            </w:r>
          </w:p>
          <w:p w14:paraId="7ABFAEB8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Consistently fresh, chemical-free gourmet mushrooms grown locally in a climate-controlled container farm</w:t>
            </w:r>
          </w:p>
          <w:p w14:paraId="269ED0EA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Small-batch, specialty varieties not typically available through standard grocery supply chains</w:t>
            </w:r>
          </w:p>
          <w:p w14:paraId="35C17574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Reliable, predictable year-round supply (not seasonal, not weather-dependent) for restaurant buyers</w:t>
            </w:r>
          </w:p>
          <w:p w14:paraId="59C3B1D0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Wheelchair- and prosthetics-accessible production model — an operator-inclusive farm design</w:t>
            </w:r>
          </w:p>
          <w:p w14:paraId="43896E20" w14:textId="0DE08C97" w:rsidR="00D871D8" w:rsidRDefault="00D871D8">
            <w:pPr>
              <w:spacing w:before="60"/>
            </w:pPr>
          </w:p>
        </w:tc>
        <w:tc>
          <w:tcPr>
            <w:tcW w:w="0" w:type="auto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529B3E" w14:textId="77777777" w:rsidR="00D871D8" w:rsidRDefault="00000000">
            <w:pPr>
              <w:spacing w:after="60"/>
            </w:pPr>
            <w:r>
              <w:rPr>
                <w:b/>
                <w:bCs/>
                <w:color w:val="1F2A38"/>
                <w:sz w:val="18"/>
                <w:szCs w:val="18"/>
              </w:rPr>
              <w:t>Customer Relationships</w:t>
            </w:r>
          </w:p>
          <w:p w14:paraId="1E1A564B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Direct, personal relationships with chef/restaurant accounts</w:t>
            </w:r>
          </w:p>
          <w:p w14:paraId="736D3AA2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Standing/recurring orders once a restaurant account is established</w:t>
            </w:r>
          </w:p>
          <w:p w14:paraId="406F4C51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Face-to-face repeat engagement at farmers markets</w:t>
            </w:r>
          </w:p>
          <w:p w14:paraId="08CF95D2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Responsive, personal service given small scale (not self-service/automated)</w:t>
            </w:r>
          </w:p>
        </w:tc>
        <w:tc>
          <w:tcPr>
            <w:tcW w:w="0" w:type="auto"/>
            <w:vMerge w:val="restart"/>
            <w:shd w:val="clear" w:color="auto" w:fill="DCE9DC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B35D54" w14:textId="77777777" w:rsidR="00D871D8" w:rsidRDefault="00000000">
            <w:pPr>
              <w:spacing w:after="60"/>
            </w:pPr>
            <w:r>
              <w:rPr>
                <w:b/>
                <w:bCs/>
                <w:color w:val="1F2A38"/>
                <w:sz w:val="18"/>
                <w:szCs w:val="18"/>
              </w:rPr>
              <w:t>Customer Segments</w:t>
            </w:r>
          </w:p>
          <w:p w14:paraId="6210104B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Local independent restaurants and chefs seeking specialty/gourmet mushrooms</w:t>
            </w:r>
          </w:p>
          <w:p w14:paraId="1D4DF09A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Farmers market shoppers who value local, fresh, chemical-free produce</w:t>
            </w:r>
          </w:p>
          <w:p w14:paraId="5214183D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Health-conscious direct-to-consumer buyers</w:t>
            </w:r>
          </w:p>
          <w:p w14:paraId="67F2C342" w14:textId="569AF858" w:rsidR="00D871D8" w:rsidRDefault="00D871D8">
            <w:pPr>
              <w:spacing w:before="60"/>
            </w:pPr>
          </w:p>
        </w:tc>
      </w:tr>
      <w:tr w:rsidR="00D871D8" w14:paraId="3E5AB2A7" w14:textId="77777777">
        <w:tblPrEx>
          <w:tblCellMar>
            <w:top w:w="0" w:type="dxa"/>
            <w:bottom w:w="0" w:type="dxa"/>
          </w:tblCellMar>
        </w:tblPrEx>
        <w:trPr>
          <w:gridAfter w:val="1"/>
        </w:trPr>
        <w:tc>
          <w:tcPr>
            <w:tcW w:w="0" w:type="auto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72A986" w14:textId="77777777" w:rsidR="00D871D8" w:rsidRDefault="00000000">
            <w:pPr>
              <w:spacing w:after="60"/>
            </w:pPr>
            <w:r>
              <w:rPr>
                <w:b/>
                <w:bCs/>
                <w:color w:val="1F2A38"/>
                <w:sz w:val="18"/>
                <w:szCs w:val="18"/>
              </w:rPr>
              <w:t>Key Resources</w:t>
            </w:r>
          </w:p>
          <w:p w14:paraId="45DE3D7D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Physical: retrofitted shipping container farm (climate control, growing racks, cold storage, harvest/packaging equipment)</w:t>
            </w:r>
          </w:p>
          <w:p w14:paraId="79E9CD02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Physical: delivery vehicle</w:t>
            </w:r>
          </w:p>
          <w:p w14:paraId="196AB573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Human: Chad's labor as grower/operator</w:t>
            </w:r>
          </w:p>
          <w:p w14:paraId="2DBFA9A9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Intellectual: cultivation SOPs/protocols, Desert Fog Mycology brand</w:t>
            </w:r>
          </w:p>
          <w:p w14:paraId="2CDC8AAB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Financial: USDA microloan proceeds, personal capital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C08688" w14:textId="77777777" w:rsidR="00D871D8" w:rsidRDefault="00000000">
            <w:pPr>
              <w:spacing w:after="60"/>
            </w:pPr>
            <w:r>
              <w:rPr>
                <w:b/>
                <w:bCs/>
                <w:color w:val="1F2A38"/>
                <w:sz w:val="18"/>
                <w:szCs w:val="18"/>
              </w:rPr>
              <w:t>Channels</w:t>
            </w:r>
          </w:p>
          <w:p w14:paraId="2BF5E307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Direct outreach to restaurants (in-person, phone, email)</w:t>
            </w:r>
          </w:p>
          <w:p w14:paraId="1313524C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Farmers markets</w:t>
            </w:r>
          </w:p>
          <w:p w14:paraId="6748DD69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Website (desertfogmycology.com) for information and ordering</w:t>
            </w:r>
          </w:p>
          <w:p w14:paraId="71630100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Word-of-mouth within the local food community</w:t>
            </w:r>
          </w:p>
        </w:tc>
        <w:tc>
          <w:tcPr>
            <w:tcW w:w="0" w:type="auto"/>
            <w:vMerge/>
          </w:tcPr>
          <w:p w14:paraId="7E2A4080" w14:textId="77777777" w:rsidR="00D871D8" w:rsidRDefault="00D871D8"/>
        </w:tc>
        <w:tc>
          <w:tcPr>
            <w:tcW w:w="0" w:type="auto"/>
            <w:vMerge/>
          </w:tcPr>
          <w:p w14:paraId="35F97718" w14:textId="77777777" w:rsidR="00D871D8" w:rsidRDefault="00D871D8"/>
        </w:tc>
      </w:tr>
      <w:tr w:rsidR="00D871D8" w14:paraId="00F4388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848FD4" w14:textId="77777777" w:rsidR="00D871D8" w:rsidRDefault="00000000">
            <w:pPr>
              <w:spacing w:after="60"/>
            </w:pPr>
            <w:r>
              <w:rPr>
                <w:b/>
                <w:bCs/>
                <w:color w:val="1F2A38"/>
                <w:sz w:val="18"/>
                <w:szCs w:val="18"/>
              </w:rPr>
              <w:t>Cost Structure</w:t>
            </w:r>
          </w:p>
          <w:p w14:paraId="508E85B7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Container acquisition and retrofit (largest fixed/capital cost)</w:t>
            </w:r>
          </w:p>
          <w:p w14:paraId="06ACA52F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Utilities — electricity for climate control and lighting (directly tied to the container as a Key Resource)</w:t>
            </w:r>
          </w:p>
          <w:p w14:paraId="2849BE8A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Substrate, spawn, and consumable growing supplies (variable, per-batch)</w:t>
            </w:r>
          </w:p>
          <w:p w14:paraId="301F6C08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USDA microloan repayment</w:t>
            </w:r>
          </w:p>
          <w:p w14:paraId="408035B7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Packaging and delivery/vehicle costs</w:t>
            </w:r>
          </w:p>
          <w:p w14:paraId="119979E9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Business registration, licensing, and insurance</w:t>
            </w:r>
          </w:p>
          <w:p w14:paraId="47E69D9C" w14:textId="75AF94AB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Website domain and hosting (</w:t>
            </w:r>
            <w:r w:rsidR="00151E8C">
              <w:t>funguyfungi.org</w:t>
            </w:r>
            <w:r>
              <w:t>)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394BD3" w14:textId="77777777" w:rsidR="00D871D8" w:rsidRDefault="00000000">
            <w:pPr>
              <w:spacing w:after="60"/>
            </w:pPr>
            <w:r>
              <w:rPr>
                <w:b/>
                <w:bCs/>
                <w:color w:val="1F2A38"/>
                <w:sz w:val="18"/>
                <w:szCs w:val="18"/>
              </w:rPr>
              <w:t>Revenue Streams</w:t>
            </w:r>
          </w:p>
          <w:p w14:paraId="321EDBE8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Wholesale sales to restaurants (per-pound pricing)</w:t>
            </w:r>
          </w:p>
          <w:p w14:paraId="64E72FAA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Retail sales at farmers markets</w:t>
            </w:r>
          </w:p>
          <w:p w14:paraId="141C8B8A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Future: grow-kit or specialty product sales</w:t>
            </w:r>
          </w:p>
          <w:p w14:paraId="2621ED80" w14:textId="77777777" w:rsidR="00D871D8" w:rsidRDefault="00000000">
            <w:pPr>
              <w:pStyle w:val="ListParagraph"/>
              <w:numPr>
                <w:ilvl w:val="0"/>
                <w:numId w:val="1"/>
              </w:numPr>
              <w:spacing w:after="40"/>
              <w:rPr>
                <w:sz w:val="17"/>
                <w:szCs w:val="17"/>
              </w:rPr>
            </w:pPr>
            <w:r>
              <w:t>Future: farm tours or educational workshops</w:t>
            </w:r>
          </w:p>
          <w:p w14:paraId="7EA0FC19" w14:textId="3DAF6C75" w:rsidR="00D871D8" w:rsidRDefault="00D871D8">
            <w:pPr>
              <w:spacing w:before="60"/>
            </w:pPr>
          </w:p>
        </w:tc>
      </w:tr>
    </w:tbl>
    <w:p w14:paraId="4D6AB27F" w14:textId="7A7E33ED" w:rsidR="00D871D8" w:rsidRDefault="00D871D8" w:rsidP="00151E8C">
      <w:pPr>
        <w:pStyle w:val="ListParagraph"/>
        <w:spacing w:after="40"/>
        <w:ind w:left="720"/>
        <w:rPr>
          <w:sz w:val="17"/>
          <w:szCs w:val="17"/>
        </w:rPr>
      </w:pPr>
    </w:p>
    <w:sectPr w:rsidR="00D871D8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F0A8D"/>
    <w:multiLevelType w:val="hybridMultilevel"/>
    <w:tmpl w:val="6BAAF576"/>
    <w:lvl w:ilvl="0" w:tplc="64C8DA1A">
      <w:start w:val="1"/>
      <w:numFmt w:val="bullet"/>
      <w:lvlText w:val="●"/>
      <w:lvlJc w:val="left"/>
      <w:pPr>
        <w:ind w:left="720" w:hanging="360"/>
      </w:pPr>
    </w:lvl>
    <w:lvl w:ilvl="1" w:tplc="B0AE9998">
      <w:start w:val="1"/>
      <w:numFmt w:val="bullet"/>
      <w:lvlText w:val="○"/>
      <w:lvlJc w:val="left"/>
      <w:pPr>
        <w:ind w:left="1440" w:hanging="360"/>
      </w:pPr>
    </w:lvl>
    <w:lvl w:ilvl="2" w:tplc="FF18BE80">
      <w:start w:val="1"/>
      <w:numFmt w:val="bullet"/>
      <w:lvlText w:val="■"/>
      <w:lvlJc w:val="left"/>
      <w:pPr>
        <w:ind w:left="2160" w:hanging="360"/>
      </w:pPr>
    </w:lvl>
    <w:lvl w:ilvl="3" w:tplc="DC24E08C">
      <w:start w:val="1"/>
      <w:numFmt w:val="bullet"/>
      <w:lvlText w:val="●"/>
      <w:lvlJc w:val="left"/>
      <w:pPr>
        <w:ind w:left="2880" w:hanging="360"/>
      </w:pPr>
    </w:lvl>
    <w:lvl w:ilvl="4" w:tplc="DACC53B0">
      <w:start w:val="1"/>
      <w:numFmt w:val="bullet"/>
      <w:lvlText w:val="○"/>
      <w:lvlJc w:val="left"/>
      <w:pPr>
        <w:ind w:left="3600" w:hanging="360"/>
      </w:pPr>
    </w:lvl>
    <w:lvl w:ilvl="5" w:tplc="1A86CB08">
      <w:start w:val="1"/>
      <w:numFmt w:val="bullet"/>
      <w:lvlText w:val="■"/>
      <w:lvlJc w:val="left"/>
      <w:pPr>
        <w:ind w:left="4320" w:hanging="360"/>
      </w:pPr>
    </w:lvl>
    <w:lvl w:ilvl="6" w:tplc="77324E78">
      <w:start w:val="1"/>
      <w:numFmt w:val="bullet"/>
      <w:lvlText w:val="●"/>
      <w:lvlJc w:val="left"/>
      <w:pPr>
        <w:ind w:left="5040" w:hanging="360"/>
      </w:pPr>
    </w:lvl>
    <w:lvl w:ilvl="7" w:tplc="B08EC148">
      <w:start w:val="1"/>
      <w:numFmt w:val="bullet"/>
      <w:lvlText w:val="●"/>
      <w:lvlJc w:val="left"/>
      <w:pPr>
        <w:ind w:left="5760" w:hanging="360"/>
      </w:pPr>
    </w:lvl>
    <w:lvl w:ilvl="8" w:tplc="7F348E36">
      <w:start w:val="1"/>
      <w:numFmt w:val="bullet"/>
      <w:lvlText w:val="●"/>
      <w:lvlJc w:val="left"/>
      <w:pPr>
        <w:ind w:left="6480" w:hanging="360"/>
      </w:pPr>
    </w:lvl>
  </w:abstractNum>
  <w:num w:numId="1" w16cid:durableId="3097511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1D8"/>
    <w:rsid w:val="00151E8C"/>
    <w:rsid w:val="00186959"/>
    <w:rsid w:val="0045509E"/>
    <w:rsid w:val="00D8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CA004"/>
  <w15:docId w15:val="{46B759DD-5DE5-40B8-A1C2-C461E08C3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Chad E. Pattengale</cp:lastModifiedBy>
  <cp:revision>2</cp:revision>
  <dcterms:created xsi:type="dcterms:W3CDTF">2026-09-01T20:16:00Z</dcterms:created>
  <dcterms:modified xsi:type="dcterms:W3CDTF">2026-09-01T20:16:00Z</dcterms:modified>
</cp:coreProperties>
</file>